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left"/>
      </w:pPr>
      <w:r>
        <w:t>OW_GERICHTE VVGE 1966/70 Nr. 62 vom 18. Mai 1965</w:t>
      </w:r>
    </w:p>
    <w:p>
      <w:r>
        <w:t>OW Obergericht, 1965-05-18, DE</w:t>
      </w:r>
    </w:p>
    <w:p>
      <w:r>
        <w:rPr>
          <w:b/>
        </w:rPr>
        <w:t xml:space="preserve">Quelle: </w:t>
      </w:r>
      <w:r>
        <w:t>https://mcp.opencaselaw.ch/entscheid/ow_gerichte_VVGE 1966_70 Nr. 62</w:t>
      </w:r>
    </w:p>
    <w:p>
      <w:r>
        <w:t>FR: OW_GERICHTE VVGE 1966/70 Nr. 62 du 18 mai 1965</w:t>
      </w:r>
    </w:p>
    <w:p>
      <w:r>
        <w:t>IT: OW_GERICHTE VVGE 1966/70 Nr. 62 del 18 maggio 1965</w:t>
      </w:r>
    </w:p>
    <w:p>
      <w:pPr>
        <w:pStyle w:val="Heading2"/>
      </w:pPr>
      <w:r>
        <w:t>Regeste</w:t>
      </w:r>
    </w:p>
    <w:p>
      <w:r>
        <w:t>VVGE 1966/70 Nr. 62, S. 216: Einbezug der Werkanlagen des EWO in den Strassenperimeter. Entscheid vom 25.7.1966 i.S. Einsprache EWO. Mit Datum vom 18. Mai 1965 erhebt das Elektrizitätswerk Obwalden (EWO) Einsprache gegen den Einbezug der W</w:t>
      </w:r>
    </w:p>
    <w:p>
      <w:pPr>
        <w:pStyle w:val="Heading2"/>
      </w:pPr>
      <w:r>
        <w:t>Erwägungen</w:t>
      </w:r>
    </w:p>
    <w:p>
      <w:r>
        <w:rPr>
          <w:b/>
        </w:rPr>
        <w:t>E. 1</w:t>
      </w:r>
    </w:p>
    <w:p>
      <w:r>
        <w:t>Das EWO als öffentlich-rechtliche Institution des Kantons sei als Rechtsnachfolger des EW Kerns aus der Perimeterpflicht zu entlassen.</w:t>
      </w:r>
    </w:p>
    <w:p>
      <w:r>
        <w:rPr>
          <w:b/>
        </w:rPr>
        <w:t>E. 2</w:t>
      </w:r>
    </w:p>
    <w:p>
      <w:r>
        <w:t>Das EWO ist jedoch bereit, analog der Regelung wie sie mit den Bernischen Kraftwerken für die Kleinteilerbergstrasse getroffen wurde, an Stelle der Perimeterpflicht eine einmalige freiwillige Leistung zu erbringen.</w:t>
      </w:r>
    </w:p>
    <w:p>
      <w:r>
        <w:rPr>
          <w:b/>
        </w:rPr>
        <w:t>E. 3</w:t>
      </w:r>
    </w:p>
    <w:p>
      <w:r>
        <w:t>Es dürfte durchaus zulässig sein, eine pauschale Leistung in angemessener Höhe zu erheben, wie dies seinerzeit bei den Bernischen Kraftwerken der Fall war, obwohl, wie im Entscheid betreffend Strasse Stein-Schlad ausdrücklich festgehalten wurde, auch für das EWO und seine im fraglichen Gebiet gelegenen Leitungen grundsätzlich eine ordentliche Perimeterpflicht besteht. Beschlossen: Abweisung der Beschwerde im Sinne der Ausführungen. de| fr | it Schlagworte eigentümer kanton strasse grundstück grundeigentum gesetz gemeinde entscheid einsprache ausnahme obwalden innerhalb dienstbarkeit staat erheblichkeit Mehr Deskriptoren anzeigen Normen Bund KV/OW: Art.1 ZGB: Art.675 Art.676 EleG: Art.5 Leitentscheide BGE 48-I-445 VVGE 1966/70 Nr. 62</w:t>
      </w:r>
    </w:p>
    <w:p/>
    <w:p>
      <w:pPr>
        <w:spacing w:before="240"/>
      </w:pPr>
      <w:r>
        <w:t>Export aus OpenCaseLaw (CC0). Verbindlich ist allein der vom erlassenden Gericht veröffentlichte Originaltext. Quellen-URL siehe oben.</w:t>
      </w:r>
    </w:p>
    <w:sectPr w:rsidR="00FC693F" w:rsidRPr="0006063C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Rule="auto" w:line="288" w:before="0" w:after="120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120" w:lineRule="auto" w:line="288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120" w:lineRule="auto" w:line="288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0" w:after="120" w:lineRule="auto" w:line="288"/>
      <w:outlineLvl w:val="2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